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6C74C" w14:textId="17D64B1C" w:rsidR="00F3045D" w:rsidRPr="00631DE3" w:rsidRDefault="00F3045D" w:rsidP="00B531D9">
      <w:pPr>
        <w:rPr>
          <w:rFonts w:ascii="Lato" w:hAnsi="Lato"/>
          <w:b/>
          <w:bCs/>
          <w:color w:val="003C3C"/>
          <w:sz w:val="24"/>
          <w:szCs w:val="24"/>
        </w:rPr>
      </w:pPr>
      <w:r w:rsidRPr="00631DE3">
        <w:rPr>
          <w:rFonts w:ascii="Lato" w:hAnsi="Lato"/>
          <w:b/>
          <w:bCs/>
          <w:noProof/>
          <w:color w:val="003C3C"/>
          <w:sz w:val="24"/>
          <w:szCs w:val="24"/>
        </w:rPr>
        <w:drawing>
          <wp:inline distT="0" distB="0" distL="0" distR="0" wp14:anchorId="130C222E" wp14:editId="543712FC">
            <wp:extent cx="2601595" cy="656511"/>
            <wp:effectExtent l="0" t="0" r="0" b="0"/>
            <wp:docPr id="258533044" name="Picture 1" descr="A blue and orang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533044" name="Picture 1" descr="A blue and orange 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50592" cy="668875"/>
                    </a:xfrm>
                    <a:prstGeom prst="rect">
                      <a:avLst/>
                    </a:prstGeom>
                  </pic:spPr>
                </pic:pic>
              </a:graphicData>
            </a:graphic>
          </wp:inline>
        </w:drawing>
      </w:r>
    </w:p>
    <w:p w14:paraId="51FAE76D" w14:textId="7DD40F66" w:rsidR="005D2DAB" w:rsidRPr="00631DE3" w:rsidRDefault="00B527AB" w:rsidP="00631DE3">
      <w:pPr>
        <w:rPr>
          <w:rFonts w:ascii="Lato" w:hAnsi="Lato" w:cs="Arial"/>
          <w:b/>
          <w:bCs/>
          <w:color w:val="193E72"/>
          <w:sz w:val="32"/>
          <w:szCs w:val="32"/>
        </w:rPr>
      </w:pPr>
      <w:r>
        <w:rPr>
          <w:rFonts w:ascii="Lato" w:hAnsi="Lato" w:cs="Arial"/>
          <w:b/>
          <w:bCs/>
          <w:color w:val="193E72"/>
          <w:sz w:val="32"/>
          <w:szCs w:val="32"/>
        </w:rPr>
        <w:t>Exeter Clinical Research Facility</w:t>
      </w:r>
      <w:r w:rsidR="005D2DAB" w:rsidRPr="00631DE3">
        <w:rPr>
          <w:rFonts w:ascii="Lato" w:hAnsi="Lato" w:cs="Arial"/>
          <w:b/>
          <w:bCs/>
          <w:color w:val="193E72"/>
          <w:sz w:val="32"/>
          <w:szCs w:val="32"/>
        </w:rPr>
        <w:t xml:space="preserve"> </w:t>
      </w:r>
      <w:r w:rsidR="00A3123B" w:rsidRPr="00631DE3">
        <w:rPr>
          <w:rFonts w:ascii="Lato" w:hAnsi="Lato" w:cs="Arial"/>
          <w:b/>
          <w:bCs/>
          <w:color w:val="193E72"/>
          <w:sz w:val="32"/>
          <w:szCs w:val="32"/>
        </w:rPr>
        <w:t>Useful</w:t>
      </w:r>
      <w:r w:rsidR="005D2DAB" w:rsidRPr="00631DE3">
        <w:rPr>
          <w:rFonts w:ascii="Lato" w:hAnsi="Lato" w:cs="Arial"/>
          <w:b/>
          <w:bCs/>
          <w:color w:val="193E72"/>
          <w:sz w:val="32"/>
          <w:szCs w:val="32"/>
        </w:rPr>
        <w:t xml:space="preserve"> </w:t>
      </w:r>
      <w:r w:rsidR="00A3123B" w:rsidRPr="00631DE3">
        <w:rPr>
          <w:rFonts w:ascii="Lato" w:hAnsi="Lato" w:cs="Arial"/>
          <w:b/>
          <w:bCs/>
          <w:color w:val="193E72"/>
          <w:sz w:val="32"/>
          <w:szCs w:val="32"/>
        </w:rPr>
        <w:t>Acronyms</w:t>
      </w:r>
      <w:r w:rsidR="00B66B1E">
        <w:rPr>
          <w:rFonts w:ascii="Lato" w:hAnsi="Lato" w:cs="Arial"/>
          <w:b/>
          <w:bCs/>
          <w:color w:val="193E72"/>
          <w:sz w:val="32"/>
          <w:szCs w:val="32"/>
        </w:rPr>
        <w:t xml:space="preserve"> </w:t>
      </w:r>
      <w:r w:rsidR="00B66B1E" w:rsidRPr="00B527AB">
        <w:rPr>
          <w:rFonts w:ascii="Lato" w:hAnsi="Lato" w:cs="Arial"/>
          <w:b/>
          <w:bCs/>
          <w:color w:val="193E72"/>
          <w:sz w:val="24"/>
          <w:szCs w:val="24"/>
        </w:rPr>
        <w:t>(20.03.24)</w:t>
      </w:r>
    </w:p>
    <w:p w14:paraId="316D0F43" w14:textId="0FEA4DD4" w:rsidR="00631DE3" w:rsidRPr="00F738E3" w:rsidRDefault="000C6872" w:rsidP="00EE77A1">
      <w:pPr>
        <w:rPr>
          <w:rFonts w:ascii="Lato" w:hAnsi="Lato" w:cs="Latha"/>
          <w:b/>
          <w:bCs/>
          <w:color w:val="C00000"/>
          <w:sz w:val="24"/>
          <w:szCs w:val="24"/>
        </w:rPr>
      </w:pPr>
      <w:hyperlink r:id="rId8" w:anchor="SKPostAToZ" w:history="1">
        <w:r w:rsidR="00F738E3" w:rsidRPr="00F738E3">
          <w:rPr>
            <w:rStyle w:val="Hyperlink"/>
            <w:rFonts w:ascii="Lato" w:hAnsi="Lato" w:cs="Latha"/>
            <w:b/>
            <w:bCs/>
            <w:color w:val="C00000"/>
            <w:sz w:val="24"/>
            <w:szCs w:val="24"/>
          </w:rPr>
          <w:t>Link to NIHR glossary</w:t>
        </w:r>
      </w:hyperlink>
    </w:p>
    <w:p w14:paraId="247150D2" w14:textId="5276C4E9" w:rsidR="00C47C3C" w:rsidRPr="00E80AF6" w:rsidRDefault="00C47C3C" w:rsidP="00EE77A1">
      <w:pPr>
        <w:rPr>
          <w:rFonts w:ascii="Lato" w:hAnsi="Lato" w:cs="Latha"/>
          <w:b/>
          <w:bCs/>
          <w:color w:val="000000" w:themeColor="text1"/>
          <w:sz w:val="28"/>
          <w:szCs w:val="28"/>
        </w:rPr>
      </w:pPr>
      <w:r w:rsidRPr="00E80AF6">
        <w:rPr>
          <w:rFonts w:ascii="Lato" w:hAnsi="Lato" w:cs="Latha"/>
          <w:b/>
          <w:bCs/>
          <w:color w:val="000000" w:themeColor="text1"/>
          <w:sz w:val="28"/>
          <w:szCs w:val="28"/>
        </w:rPr>
        <w:t>BHF- British Heart Foundation</w:t>
      </w:r>
    </w:p>
    <w:p w14:paraId="4ECBADA0" w14:textId="167F15BA" w:rsidR="00EE77A1" w:rsidRPr="00E80AF6" w:rsidRDefault="00EE77A1" w:rsidP="00EE77A1">
      <w:pPr>
        <w:rPr>
          <w:rFonts w:ascii="Lato" w:hAnsi="Lato"/>
          <w:b/>
          <w:bCs/>
          <w:color w:val="000000" w:themeColor="text1"/>
          <w:sz w:val="24"/>
          <w:szCs w:val="24"/>
        </w:rPr>
      </w:pPr>
      <w:r w:rsidRPr="00E80AF6">
        <w:rPr>
          <w:rFonts w:ascii="Lato" w:hAnsi="Lato"/>
          <w:b/>
          <w:bCs/>
          <w:color w:val="000000" w:themeColor="text1"/>
          <w:sz w:val="28"/>
          <w:szCs w:val="28"/>
        </w:rPr>
        <w:t>BRC – Biomedical Research Centre -</w:t>
      </w:r>
      <w:r w:rsidRPr="00E80AF6">
        <w:rPr>
          <w:rFonts w:ascii="Lato" w:hAnsi="Lato"/>
          <w:b/>
          <w:bCs/>
          <w:color w:val="000000" w:themeColor="text1"/>
          <w:sz w:val="24"/>
          <w:szCs w:val="24"/>
        </w:rPr>
        <w:t xml:space="preserve"> </w:t>
      </w:r>
      <w:r w:rsidRPr="00E80AF6">
        <w:rPr>
          <w:rFonts w:ascii="Lato" w:hAnsi="Lato" w:cs="Segoe UI"/>
          <w:color w:val="000000" w:themeColor="text1"/>
          <w:shd w:val="clear" w:color="auto" w:fill="FFFFFF"/>
        </w:rPr>
        <w:t xml:space="preserve">The new BRC is led by the University of Exeter and the Royal Devon University Healthcare NHS Foundation Trust.  </w:t>
      </w:r>
      <w:r w:rsidRPr="00E80AF6">
        <w:rPr>
          <w:rFonts w:ascii="Lato" w:hAnsi="Lato"/>
          <w:color w:val="000000" w:themeColor="text1"/>
          <w:shd w:val="clear" w:color="auto" w:fill="FFFFFF"/>
        </w:rPr>
        <w:t>It will help the partners run more clinical trials to get effective treatments into the clinic where they can benefit people and improve diagnoses. It will also accelerate the development of better precision approaches to target the right therapies to the right people using cutting edge technologies.</w:t>
      </w:r>
    </w:p>
    <w:p w14:paraId="167EBA2E" w14:textId="421C328A" w:rsidR="00EE77A1" w:rsidRPr="00E80AF6" w:rsidRDefault="00EE77A1" w:rsidP="00EE77A1">
      <w:pPr>
        <w:rPr>
          <w:rFonts w:ascii="Lato" w:hAnsi="Lato"/>
          <w:b/>
          <w:bCs/>
          <w:color w:val="000000" w:themeColor="text1"/>
          <w:sz w:val="24"/>
          <w:szCs w:val="24"/>
        </w:rPr>
      </w:pPr>
      <w:r w:rsidRPr="00E80AF6">
        <w:rPr>
          <w:rFonts w:ascii="Lato" w:hAnsi="Lato"/>
          <w:b/>
          <w:bCs/>
          <w:color w:val="000000" w:themeColor="text1"/>
          <w:sz w:val="28"/>
          <w:szCs w:val="28"/>
        </w:rPr>
        <w:t>CRF – Clinical Research Facility -</w:t>
      </w:r>
      <w:r w:rsidRPr="00E80AF6">
        <w:rPr>
          <w:rFonts w:ascii="Lato" w:hAnsi="Lato"/>
          <w:b/>
          <w:bCs/>
          <w:color w:val="000000" w:themeColor="text1"/>
          <w:sz w:val="24"/>
          <w:szCs w:val="24"/>
        </w:rPr>
        <w:t xml:space="preserve"> </w:t>
      </w:r>
      <w:r w:rsidRPr="00E80AF6">
        <w:rPr>
          <w:rFonts w:ascii="Lato" w:hAnsi="Lato" w:cs="Segoe UI"/>
          <w:color w:val="000000" w:themeColor="text1"/>
          <w:shd w:val="clear" w:color="auto" w:fill="FFFFFF"/>
        </w:rPr>
        <w:t>a specialized setting where clinical research studies are conducted to evaluate new medical treatments, therapies, drugs, or procedures in human subjects.</w:t>
      </w:r>
    </w:p>
    <w:p w14:paraId="4B1A477A" w14:textId="77777777" w:rsidR="00A44D79" w:rsidRPr="00E80AF6" w:rsidRDefault="00A44D79" w:rsidP="00A44D79">
      <w:pPr>
        <w:rPr>
          <w:rFonts w:ascii="Lato" w:hAnsi="Lato"/>
          <w:b/>
          <w:bCs/>
          <w:color w:val="000000" w:themeColor="text1"/>
          <w:sz w:val="28"/>
          <w:szCs w:val="28"/>
        </w:rPr>
      </w:pPr>
      <w:r w:rsidRPr="00E80AF6">
        <w:rPr>
          <w:rFonts w:ascii="Lato" w:hAnsi="Lato"/>
          <w:b/>
          <w:bCs/>
          <w:color w:val="000000" w:themeColor="text1"/>
          <w:sz w:val="28"/>
          <w:szCs w:val="28"/>
        </w:rPr>
        <w:t>CTU – Clinical Trials Unit</w:t>
      </w:r>
    </w:p>
    <w:p w14:paraId="7EE0207C" w14:textId="4DFA9CE4" w:rsidR="00EE77A1" w:rsidRPr="00E80AF6" w:rsidRDefault="00A44D79" w:rsidP="00A44D79">
      <w:pPr>
        <w:jc w:val="both"/>
        <w:rPr>
          <w:rFonts w:ascii="Lato" w:hAnsi="Lato" w:cs="Segoe UI"/>
          <w:color w:val="000000" w:themeColor="text1"/>
          <w:shd w:val="clear" w:color="auto" w:fill="FFFFFF"/>
        </w:rPr>
      </w:pPr>
      <w:r w:rsidRPr="00E80AF6">
        <w:rPr>
          <w:rFonts w:ascii="Lato" w:hAnsi="Lato" w:cs="Segoe UI"/>
          <w:b/>
          <w:bCs/>
          <w:color w:val="000000" w:themeColor="text1"/>
          <w:sz w:val="28"/>
          <w:szCs w:val="28"/>
          <w:shd w:val="clear" w:color="auto" w:fill="FFFFFF"/>
        </w:rPr>
        <w:t>CPRD - Clinical Practice Research Datalink</w:t>
      </w:r>
      <w:r w:rsidR="00631DE3" w:rsidRPr="00E80AF6">
        <w:rPr>
          <w:rFonts w:ascii="Lato" w:hAnsi="Lato" w:cs="Segoe UI"/>
          <w:color w:val="000000" w:themeColor="text1"/>
          <w:sz w:val="24"/>
          <w:szCs w:val="24"/>
          <w:shd w:val="clear" w:color="auto" w:fill="FFFFFF"/>
        </w:rPr>
        <w:t xml:space="preserve"> - </w:t>
      </w:r>
      <w:r w:rsidRPr="00E80AF6">
        <w:rPr>
          <w:rFonts w:ascii="Lato" w:hAnsi="Lato" w:cs="Segoe UI"/>
          <w:color w:val="000000" w:themeColor="text1"/>
          <w:shd w:val="clear" w:color="auto" w:fill="FFFFFF"/>
        </w:rPr>
        <w:t>is a research service that provides anonymized electronic health records for public health and clinical research. CPRD data is derived from a network of GP practices across the United Kingdom and is used for a wide range of studies, including epidemiological research, drug safety evaluations, and health services research.</w:t>
      </w:r>
    </w:p>
    <w:p w14:paraId="7B477B00" w14:textId="77777777" w:rsidR="00A44D79" w:rsidRPr="00E80AF6" w:rsidRDefault="00A44D79" w:rsidP="00A44D79">
      <w:pPr>
        <w:rPr>
          <w:rFonts w:ascii="Lato" w:hAnsi="Lato"/>
          <w:b/>
          <w:bCs/>
          <w:color w:val="000000" w:themeColor="text1"/>
          <w:sz w:val="28"/>
          <w:szCs w:val="28"/>
        </w:rPr>
      </w:pPr>
      <w:r w:rsidRPr="00E80AF6">
        <w:rPr>
          <w:rFonts w:ascii="Lato" w:hAnsi="Lato"/>
          <w:b/>
          <w:bCs/>
          <w:color w:val="000000" w:themeColor="text1"/>
          <w:sz w:val="28"/>
          <w:szCs w:val="28"/>
        </w:rPr>
        <w:t>DUK – Diabetes UK</w:t>
      </w:r>
    </w:p>
    <w:p w14:paraId="352B1E52" w14:textId="77777777" w:rsidR="00B240CC" w:rsidRPr="00E80AF6" w:rsidRDefault="00B240CC" w:rsidP="00B240CC">
      <w:pPr>
        <w:rPr>
          <w:rFonts w:ascii="Lato" w:hAnsi="Lato" w:cs="Segoe UI"/>
          <w:color w:val="000000" w:themeColor="text1"/>
          <w:shd w:val="clear" w:color="auto" w:fill="FFFFFF"/>
        </w:rPr>
      </w:pPr>
      <w:r w:rsidRPr="00E80AF6">
        <w:rPr>
          <w:rFonts w:ascii="Lato" w:hAnsi="Lato" w:cs="Segoe UI"/>
          <w:b/>
          <w:bCs/>
          <w:color w:val="000000" w:themeColor="text1"/>
          <w:sz w:val="28"/>
          <w:szCs w:val="28"/>
          <w:shd w:val="clear" w:color="auto" w:fill="FFFFFF"/>
        </w:rPr>
        <w:t>GCP - Good Clinical Practice -</w:t>
      </w:r>
      <w:r w:rsidRPr="00E80AF6">
        <w:rPr>
          <w:rFonts w:ascii="Lato" w:hAnsi="Lato" w:cs="Segoe UI"/>
          <w:color w:val="000000" w:themeColor="text1"/>
          <w:shd w:val="clear" w:color="auto" w:fill="FFFFFF"/>
        </w:rPr>
        <w:t xml:space="preserve"> Good Clinical Practice guidelines are established by regulatory authorities and international organizations, such as the International Council for Harmonisation of Technical Requirements for Pharmaceuticals for Human Use (ICH), and are enforced to ensure the quality, integrity, and credibility of clinical trial data. Compliance with GCP is a fundamental requirement for the approval and acceptance of clinical trial results by regulatory authorities worldwide.</w:t>
      </w:r>
    </w:p>
    <w:p w14:paraId="67DE628A" w14:textId="22CA1B6F" w:rsidR="00B240CC" w:rsidRPr="00E80AF6" w:rsidRDefault="00B240CC" w:rsidP="00B240CC">
      <w:pPr>
        <w:rPr>
          <w:rFonts w:ascii="Lato" w:hAnsi="Lato"/>
          <w:color w:val="000000" w:themeColor="text1"/>
        </w:rPr>
      </w:pPr>
      <w:r w:rsidRPr="00E80AF6">
        <w:rPr>
          <w:rFonts w:ascii="Lato" w:hAnsi="Lato" w:cs="Segoe UI"/>
          <w:b/>
          <w:bCs/>
          <w:color w:val="000000" w:themeColor="text1"/>
          <w:sz w:val="28"/>
          <w:szCs w:val="28"/>
          <w:shd w:val="clear" w:color="auto" w:fill="FFFFFF"/>
        </w:rPr>
        <w:t xml:space="preserve">HRA – The Health Research Authority </w:t>
      </w:r>
      <w:r w:rsidR="00631DE3" w:rsidRPr="00E80AF6">
        <w:rPr>
          <w:rFonts w:ascii="Lato" w:hAnsi="Lato" w:cs="Segoe UI"/>
          <w:b/>
          <w:bCs/>
          <w:color w:val="000000" w:themeColor="text1"/>
          <w:sz w:val="28"/>
          <w:szCs w:val="28"/>
          <w:shd w:val="clear" w:color="auto" w:fill="FFFFFF"/>
        </w:rPr>
        <w:t>-</w:t>
      </w:r>
      <w:r w:rsidR="00631DE3" w:rsidRPr="00E80AF6">
        <w:rPr>
          <w:rFonts w:ascii="Lato" w:hAnsi="Lato" w:cs="Segoe UI"/>
          <w:b/>
          <w:bCs/>
          <w:color w:val="000000" w:themeColor="text1"/>
          <w:sz w:val="24"/>
          <w:szCs w:val="24"/>
          <w:shd w:val="clear" w:color="auto" w:fill="FFFFFF"/>
        </w:rPr>
        <w:t xml:space="preserve"> </w:t>
      </w:r>
      <w:r w:rsidRPr="00E80AF6">
        <w:rPr>
          <w:rFonts w:ascii="Lato" w:hAnsi="Lato" w:cs="Segoe UI"/>
          <w:color w:val="000000" w:themeColor="text1"/>
          <w:shd w:val="clear" w:color="auto" w:fill="FFFFFF"/>
        </w:rPr>
        <w:t>is a UK Based organization that is responsible for protecting and promoting the interest of patients and the public in health research.  When researchers in the UK conduct studies involving human participants, they are required to obtain approval from an ethics committee, which is often facilitated by the HRA.  The HRA assigns a unique reference number to each research project that has been approved by an ethics committee.</w:t>
      </w:r>
    </w:p>
    <w:p w14:paraId="5977359A" w14:textId="77777777" w:rsidR="00B240CC" w:rsidRPr="00E80AF6" w:rsidRDefault="00B240CC" w:rsidP="00B240CC">
      <w:pPr>
        <w:rPr>
          <w:rFonts w:ascii="Lato" w:hAnsi="Lato" w:cs="Segoe UI"/>
          <w:color w:val="000000" w:themeColor="text1"/>
          <w:shd w:val="clear" w:color="auto" w:fill="FFFFFF"/>
        </w:rPr>
      </w:pPr>
      <w:r w:rsidRPr="00E80AF6">
        <w:rPr>
          <w:rFonts w:ascii="Lato" w:hAnsi="Lato" w:cs="Arial"/>
          <w:b/>
          <w:color w:val="000000" w:themeColor="text1"/>
          <w:sz w:val="28"/>
          <w:szCs w:val="28"/>
        </w:rPr>
        <w:t xml:space="preserve">HRA Ref Number - </w:t>
      </w:r>
      <w:r w:rsidRPr="00E80AF6">
        <w:rPr>
          <w:rFonts w:ascii="Lato" w:hAnsi="Lato" w:cs="Segoe UI"/>
          <w:b/>
          <w:color w:val="000000" w:themeColor="text1"/>
          <w:sz w:val="28"/>
          <w:szCs w:val="28"/>
          <w:shd w:val="clear" w:color="auto" w:fill="FFFFFF"/>
        </w:rPr>
        <w:t>Health Research Authority Reference Number</w:t>
      </w:r>
      <w:r w:rsidRPr="00E80AF6">
        <w:rPr>
          <w:rFonts w:ascii="Lato" w:hAnsi="Lato" w:cs="Segoe UI"/>
          <w:b/>
          <w:color w:val="000000" w:themeColor="text1"/>
          <w:sz w:val="24"/>
          <w:szCs w:val="24"/>
          <w:shd w:val="clear" w:color="auto" w:fill="FFFFFF"/>
        </w:rPr>
        <w:t xml:space="preserve"> - </w:t>
      </w:r>
      <w:r w:rsidRPr="00E80AF6">
        <w:rPr>
          <w:rFonts w:ascii="Lato" w:hAnsi="Lato" w:cs="Segoe UI"/>
          <w:color w:val="000000" w:themeColor="text1"/>
          <w:shd w:val="clear" w:color="auto" w:fill="FFFFFF"/>
        </w:rPr>
        <w:t xml:space="preserve">a unique identifier for a specific research project. It helps track and manage the progress of the research study, ensures transparency, and provides a means for stakeholders to reference and communicate about the project. Researchers, ethics committees, regulatory bodies, and </w:t>
      </w:r>
      <w:r w:rsidRPr="00E80AF6">
        <w:rPr>
          <w:rFonts w:ascii="Lato" w:hAnsi="Lato" w:cs="Segoe UI"/>
          <w:color w:val="000000" w:themeColor="text1"/>
          <w:shd w:val="clear" w:color="auto" w:fill="FFFFFF"/>
        </w:rPr>
        <w:lastRenderedPageBreak/>
        <w:t>other relevant parties may use the HRA Ref Number to identify and refer to specific research projects during their activities.</w:t>
      </w:r>
    </w:p>
    <w:p w14:paraId="4AE1CE80" w14:textId="31D423B7" w:rsidR="00C47C3C" w:rsidRPr="00E80AF6" w:rsidRDefault="00C47C3C" w:rsidP="00B240CC">
      <w:pPr>
        <w:rPr>
          <w:rFonts w:ascii="Lato" w:hAnsi="Lato" w:cs="Segoe UI"/>
          <w:color w:val="000000" w:themeColor="text1"/>
          <w:shd w:val="clear" w:color="auto" w:fill="FFFFFF"/>
        </w:rPr>
      </w:pPr>
      <w:r w:rsidRPr="00E80AF6">
        <w:rPr>
          <w:rFonts w:ascii="Lato" w:hAnsi="Lato" w:cs="Segoe UI"/>
          <w:b/>
          <w:bCs/>
          <w:color w:val="000000" w:themeColor="text1"/>
          <w:sz w:val="28"/>
          <w:szCs w:val="28"/>
          <w:shd w:val="clear" w:color="auto" w:fill="FFFFFF"/>
        </w:rPr>
        <w:t>HTA – Human Tissue Act</w:t>
      </w:r>
      <w:r w:rsidRPr="00E80AF6">
        <w:rPr>
          <w:rFonts w:ascii="Lato" w:hAnsi="Lato" w:cs="Segoe UI"/>
          <w:b/>
          <w:bCs/>
          <w:color w:val="000000" w:themeColor="text1"/>
          <w:sz w:val="24"/>
          <w:szCs w:val="24"/>
          <w:shd w:val="clear" w:color="auto" w:fill="FFFFFF"/>
        </w:rPr>
        <w:t xml:space="preserve"> -</w:t>
      </w:r>
      <w:r w:rsidRPr="00E80AF6">
        <w:rPr>
          <w:rFonts w:ascii="Lato" w:hAnsi="Lato" w:cs="Segoe UI"/>
          <w:color w:val="000000" w:themeColor="text1"/>
          <w:shd w:val="clear" w:color="auto" w:fill="FFFFFF"/>
        </w:rPr>
        <w:t xml:space="preserve"> The Human Tissue Act is legislation that regulates the removal, storage, use, and disposal of human tissue for research, medical treatment, and post-mortem examination. The specific regulations may vary by country or jurisdiction, but generally, the Human Tissue Act establishes guidelines for obtaining consent for tissue donation, ensuring the ethical and legal use of human tissue samples, and protecting the rights and privacy of tissue donors and their families.</w:t>
      </w:r>
    </w:p>
    <w:p w14:paraId="400D9D3B" w14:textId="7F041B50" w:rsidR="00B66B1E" w:rsidRPr="00E80AF6" w:rsidRDefault="00B66B1E" w:rsidP="00B240CC">
      <w:pPr>
        <w:rPr>
          <w:rFonts w:ascii="Lato" w:hAnsi="Lato" w:cs="Segoe UI"/>
          <w:color w:val="000000" w:themeColor="text1"/>
          <w:shd w:val="clear" w:color="auto" w:fill="FFFFFF"/>
        </w:rPr>
      </w:pPr>
      <w:r>
        <w:rPr>
          <w:rFonts w:ascii="Lato" w:hAnsi="Lato"/>
          <w:b/>
          <w:bCs/>
          <w:color w:val="000000" w:themeColor="text1"/>
          <w:sz w:val="28"/>
          <w:szCs w:val="28"/>
          <w:shd w:val="clear" w:color="auto" w:fill="FFFFFF"/>
        </w:rPr>
        <w:t>ICF</w:t>
      </w:r>
      <w:r w:rsidR="00B240CC" w:rsidRPr="00E80AF6">
        <w:rPr>
          <w:rFonts w:ascii="Lato" w:hAnsi="Lato"/>
          <w:b/>
          <w:bCs/>
          <w:color w:val="000000" w:themeColor="text1"/>
          <w:sz w:val="28"/>
          <w:szCs w:val="28"/>
          <w:shd w:val="clear" w:color="auto" w:fill="FFFFFF"/>
        </w:rPr>
        <w:t xml:space="preserve"> – Informed consent form</w:t>
      </w:r>
      <w:r w:rsidR="00B240CC" w:rsidRPr="00E80AF6">
        <w:rPr>
          <w:rFonts w:ascii="Lato" w:hAnsi="Lato"/>
          <w:color w:val="000000" w:themeColor="text1"/>
          <w:sz w:val="28"/>
          <w:szCs w:val="28"/>
          <w:shd w:val="clear" w:color="auto" w:fill="FFFFFF"/>
        </w:rPr>
        <w:t xml:space="preserve"> -</w:t>
      </w:r>
      <w:r w:rsidR="00B240CC" w:rsidRPr="00E80AF6">
        <w:rPr>
          <w:rFonts w:ascii="Lato" w:hAnsi="Lato"/>
          <w:color w:val="000000" w:themeColor="text1"/>
          <w:shd w:val="clear" w:color="auto" w:fill="FFFFFF"/>
        </w:rPr>
        <w:t xml:space="preserve"> </w:t>
      </w:r>
      <w:r w:rsidR="00B240CC" w:rsidRPr="00E80AF6">
        <w:rPr>
          <w:rFonts w:ascii="Lato" w:hAnsi="Lato" w:cs="Segoe UI"/>
          <w:color w:val="000000" w:themeColor="text1"/>
          <w:shd w:val="clear" w:color="auto" w:fill="FFFFFF"/>
        </w:rPr>
        <w:t>The informed consent process is crucial in research and medical practice to ensure that participants understand the risks and benefits of their involvement and can make an informed decision about whether to participate.</w:t>
      </w:r>
    </w:p>
    <w:p w14:paraId="5B297F82" w14:textId="5B98CA51" w:rsidR="00B66B1E" w:rsidRPr="00B66B1E" w:rsidRDefault="00B66B1E" w:rsidP="00B240CC">
      <w:pPr>
        <w:rPr>
          <w:rFonts w:ascii="Lato" w:hAnsi="Lato"/>
          <w:color w:val="000000" w:themeColor="text1"/>
        </w:rPr>
      </w:pPr>
      <w:r>
        <w:rPr>
          <w:rFonts w:ascii="Lato" w:hAnsi="Lato"/>
          <w:b/>
          <w:bCs/>
          <w:color w:val="000000" w:themeColor="text1"/>
          <w:sz w:val="28"/>
          <w:szCs w:val="28"/>
        </w:rPr>
        <w:t xml:space="preserve">IRAS – Integrated research application system – </w:t>
      </w:r>
      <w:r w:rsidRPr="00B66B1E">
        <w:rPr>
          <w:rFonts w:ascii="Lato" w:hAnsi="Lato"/>
          <w:color w:val="000000" w:themeColor="text1"/>
        </w:rPr>
        <w:t xml:space="preserve">The electronic used to submit applications for ethical and Health Research Authority approval. Process generates a unique code, called the IRAS number. </w:t>
      </w:r>
    </w:p>
    <w:p w14:paraId="76F7BB1D" w14:textId="4A0C7677" w:rsidR="00B240CC" w:rsidRPr="00E80AF6" w:rsidRDefault="00B240CC" w:rsidP="00B240CC">
      <w:pPr>
        <w:rPr>
          <w:rFonts w:ascii="Lato" w:hAnsi="Lato"/>
          <w:b/>
          <w:bCs/>
          <w:color w:val="000000" w:themeColor="text1"/>
          <w:sz w:val="24"/>
          <w:szCs w:val="24"/>
        </w:rPr>
      </w:pPr>
      <w:r w:rsidRPr="00E80AF6">
        <w:rPr>
          <w:rFonts w:ascii="Lato" w:hAnsi="Lato"/>
          <w:b/>
          <w:bCs/>
          <w:color w:val="000000" w:themeColor="text1"/>
          <w:sz w:val="28"/>
          <w:szCs w:val="28"/>
        </w:rPr>
        <w:t>MRC – Medical Research Council -</w:t>
      </w:r>
      <w:r w:rsidRPr="00E80AF6">
        <w:rPr>
          <w:rFonts w:ascii="Lato" w:hAnsi="Lato"/>
          <w:b/>
          <w:bCs/>
          <w:color w:val="000000" w:themeColor="text1"/>
          <w:sz w:val="24"/>
          <w:szCs w:val="24"/>
        </w:rPr>
        <w:t xml:space="preserve"> </w:t>
      </w:r>
      <w:r w:rsidRPr="00E80AF6">
        <w:rPr>
          <w:rFonts w:ascii="Lato" w:hAnsi="Lato" w:cs="Segoe UI"/>
          <w:color w:val="000000" w:themeColor="text1"/>
          <w:shd w:val="clear" w:color="auto" w:fill="FFFFFF"/>
        </w:rPr>
        <w:t>publicly funded organization in the United Kingdom. It supports medical and health-related research across a wide range of disciplines, including basic biomedical sciences, clinical research, public health, and translational medicine.</w:t>
      </w:r>
    </w:p>
    <w:p w14:paraId="51F77C85" w14:textId="60F35A8B" w:rsidR="00B66B1E" w:rsidRDefault="00B66B1E" w:rsidP="00B240CC">
      <w:pPr>
        <w:rPr>
          <w:rFonts w:ascii="Lato" w:hAnsi="Lato"/>
          <w:b/>
          <w:bCs/>
          <w:color w:val="000000" w:themeColor="text1"/>
          <w:sz w:val="28"/>
          <w:szCs w:val="28"/>
        </w:rPr>
      </w:pPr>
      <w:r>
        <w:rPr>
          <w:rFonts w:ascii="Lato" w:hAnsi="Lato"/>
          <w:b/>
          <w:bCs/>
          <w:color w:val="000000" w:themeColor="text1"/>
          <w:sz w:val="28"/>
          <w:szCs w:val="28"/>
        </w:rPr>
        <w:t xml:space="preserve">MHRA – Medicine and healthcare products regulatory </w:t>
      </w:r>
      <w:proofErr w:type="gramStart"/>
      <w:r>
        <w:rPr>
          <w:rFonts w:ascii="Lato" w:hAnsi="Lato"/>
          <w:b/>
          <w:bCs/>
          <w:color w:val="000000" w:themeColor="text1"/>
          <w:sz w:val="28"/>
          <w:szCs w:val="28"/>
        </w:rPr>
        <w:t>agency  -</w:t>
      </w:r>
      <w:proofErr w:type="gramEnd"/>
      <w:r w:rsidRPr="00B66B1E">
        <w:rPr>
          <w:rFonts w:ascii="Lato" w:hAnsi="Lato"/>
          <w:color w:val="000000" w:themeColor="text1"/>
        </w:rPr>
        <w:t xml:space="preserve"> The MHRA regulates medicines, medical devices and blood components for transfusion in the UK.</w:t>
      </w:r>
    </w:p>
    <w:p w14:paraId="10CD0FF1" w14:textId="50907C25" w:rsidR="00B240CC" w:rsidRPr="00E80AF6" w:rsidRDefault="00B240CC" w:rsidP="00B240CC">
      <w:pPr>
        <w:rPr>
          <w:rFonts w:ascii="Lato" w:hAnsi="Lato" w:cs="Segoe UI"/>
          <w:color w:val="000000" w:themeColor="text1"/>
          <w:shd w:val="clear" w:color="auto" w:fill="FFFFFF"/>
        </w:rPr>
      </w:pPr>
      <w:r w:rsidRPr="00E80AF6">
        <w:rPr>
          <w:rFonts w:ascii="Lato" w:hAnsi="Lato"/>
          <w:b/>
          <w:bCs/>
          <w:color w:val="000000" w:themeColor="text1"/>
          <w:sz w:val="28"/>
          <w:szCs w:val="28"/>
        </w:rPr>
        <w:t>NIHR – National Institute for Health Research</w:t>
      </w:r>
      <w:r w:rsidR="00631DE3" w:rsidRPr="00E80AF6">
        <w:rPr>
          <w:rFonts w:ascii="Lato" w:hAnsi="Lato"/>
          <w:b/>
          <w:bCs/>
          <w:color w:val="000000" w:themeColor="text1"/>
          <w:sz w:val="28"/>
          <w:szCs w:val="28"/>
        </w:rPr>
        <w:t xml:space="preserve"> </w:t>
      </w:r>
      <w:r w:rsidRPr="00E80AF6">
        <w:rPr>
          <w:rFonts w:ascii="Lato" w:hAnsi="Lato"/>
          <w:b/>
          <w:bCs/>
          <w:color w:val="000000" w:themeColor="text1"/>
          <w:sz w:val="28"/>
          <w:szCs w:val="28"/>
        </w:rPr>
        <w:t>-</w:t>
      </w:r>
      <w:r w:rsidRPr="00E80AF6">
        <w:rPr>
          <w:rFonts w:ascii="Lato" w:hAnsi="Lato"/>
          <w:b/>
          <w:bCs/>
          <w:color w:val="000000" w:themeColor="text1"/>
          <w:sz w:val="24"/>
          <w:szCs w:val="24"/>
        </w:rPr>
        <w:t xml:space="preserve"> </w:t>
      </w:r>
      <w:r w:rsidRPr="00E80AF6">
        <w:rPr>
          <w:rFonts w:ascii="Lato" w:hAnsi="Lato" w:cs="Segoe UI"/>
          <w:color w:val="000000" w:themeColor="text1"/>
          <w:shd w:val="clear" w:color="auto" w:fill="FFFFFF"/>
        </w:rPr>
        <w:t>This is a UK government-funded organization.  They aim to fund, enable, and deliver world-leading health and social care research that improves people’s health and wellbeing, and promotes economic growth.</w:t>
      </w:r>
      <w:r w:rsidR="00C47C3C" w:rsidRPr="00E80AF6">
        <w:rPr>
          <w:rFonts w:ascii="Lato" w:hAnsi="Lato" w:cs="Segoe UI"/>
          <w:color w:val="000000" w:themeColor="text1"/>
          <w:shd w:val="clear" w:color="auto" w:fill="FFFFFF"/>
        </w:rPr>
        <w:t>,</w:t>
      </w:r>
    </w:p>
    <w:p w14:paraId="75E7FAD1" w14:textId="4A9B6115" w:rsidR="00C47C3C" w:rsidRPr="00E80AF6" w:rsidRDefault="00C47C3C" w:rsidP="00C47C3C">
      <w:pPr>
        <w:jc w:val="both"/>
        <w:rPr>
          <w:rFonts w:ascii="Lato" w:hAnsi="Lato" w:cs="Segoe UI"/>
          <w:color w:val="000000" w:themeColor="text1"/>
          <w:shd w:val="clear" w:color="auto" w:fill="FFFFFF"/>
        </w:rPr>
      </w:pPr>
      <w:r w:rsidRPr="00E80AF6">
        <w:rPr>
          <w:rFonts w:ascii="Lato" w:hAnsi="Lato"/>
          <w:b/>
          <w:bCs/>
          <w:color w:val="000000" w:themeColor="text1"/>
          <w:sz w:val="28"/>
          <w:szCs w:val="28"/>
        </w:rPr>
        <w:t xml:space="preserve">PCN - </w:t>
      </w:r>
      <w:r w:rsidRPr="00E80AF6">
        <w:rPr>
          <w:rFonts w:ascii="Lato" w:hAnsi="Lato" w:cs="Segoe UI"/>
          <w:b/>
          <w:bCs/>
          <w:color w:val="000000" w:themeColor="text1"/>
          <w:sz w:val="28"/>
          <w:szCs w:val="28"/>
          <w:shd w:val="clear" w:color="auto" w:fill="FFFFFF"/>
        </w:rPr>
        <w:t>A Primary Care Network (PCN)</w:t>
      </w:r>
      <w:r w:rsidRPr="00E80AF6">
        <w:rPr>
          <w:rFonts w:ascii="Lato" w:hAnsi="Lato" w:cs="Segoe UI"/>
          <w:color w:val="000000" w:themeColor="text1"/>
          <w:sz w:val="28"/>
          <w:szCs w:val="28"/>
          <w:shd w:val="clear" w:color="auto" w:fill="FFFFFF"/>
        </w:rPr>
        <w:t xml:space="preserve"> </w:t>
      </w:r>
      <w:r w:rsidR="003E12EE" w:rsidRPr="00E80AF6">
        <w:rPr>
          <w:rFonts w:ascii="Lato" w:hAnsi="Lato" w:cs="Segoe UI"/>
          <w:color w:val="000000" w:themeColor="text1"/>
          <w:sz w:val="28"/>
          <w:szCs w:val="28"/>
          <w:shd w:val="clear" w:color="auto" w:fill="FFFFFF"/>
        </w:rPr>
        <w:t>-</w:t>
      </w:r>
      <w:r w:rsidR="003E12EE" w:rsidRPr="00E80AF6">
        <w:rPr>
          <w:rFonts w:ascii="Lato" w:hAnsi="Lato" w:cs="Segoe UI"/>
          <w:color w:val="000000" w:themeColor="text1"/>
          <w:shd w:val="clear" w:color="auto" w:fill="FFFFFF"/>
        </w:rPr>
        <w:t xml:space="preserve"> </w:t>
      </w:r>
      <w:r w:rsidRPr="00E80AF6">
        <w:rPr>
          <w:rFonts w:ascii="Lato" w:hAnsi="Lato" w:cs="Segoe UI"/>
          <w:color w:val="000000" w:themeColor="text1"/>
          <w:shd w:val="clear" w:color="auto" w:fill="FFFFFF"/>
        </w:rPr>
        <w:t>is a group of primary care practices that work together to provide coordinated and integrated health care services to a specific geographic area or patient population.</w:t>
      </w:r>
    </w:p>
    <w:p w14:paraId="3C8DC570" w14:textId="7D0D5A66" w:rsidR="00C47C3C" w:rsidRPr="00E80AF6" w:rsidRDefault="00C47C3C" w:rsidP="00B240CC">
      <w:pPr>
        <w:rPr>
          <w:rFonts w:ascii="Lato" w:hAnsi="Lato" w:cs="Segoe UI"/>
          <w:color w:val="000000" w:themeColor="text1"/>
          <w:shd w:val="clear" w:color="auto" w:fill="FFFFFF"/>
        </w:rPr>
      </w:pPr>
      <w:r w:rsidRPr="00E80AF6">
        <w:rPr>
          <w:rFonts w:ascii="Lato" w:hAnsi="Lato"/>
          <w:b/>
          <w:bCs/>
          <w:color w:val="000000" w:themeColor="text1"/>
          <w:sz w:val="28"/>
          <w:szCs w:val="28"/>
        </w:rPr>
        <w:t xml:space="preserve">PI(s) - </w:t>
      </w:r>
      <w:r w:rsidRPr="00E80AF6">
        <w:rPr>
          <w:rFonts w:ascii="Lato" w:hAnsi="Lato" w:cs="Segoe UI"/>
          <w:b/>
          <w:bCs/>
          <w:color w:val="000000" w:themeColor="text1"/>
          <w:sz w:val="28"/>
          <w:szCs w:val="28"/>
          <w:shd w:val="clear" w:color="auto" w:fill="FFFFFF"/>
        </w:rPr>
        <w:t>Principal Investigator</w:t>
      </w:r>
      <w:r w:rsidRPr="00E80AF6">
        <w:rPr>
          <w:rFonts w:ascii="Lato" w:hAnsi="Lato" w:cs="Segoe UI"/>
          <w:color w:val="000000" w:themeColor="text1"/>
          <w:sz w:val="28"/>
          <w:szCs w:val="28"/>
          <w:shd w:val="clear" w:color="auto" w:fill="FFFFFF"/>
        </w:rPr>
        <w:t xml:space="preserve"> -</w:t>
      </w:r>
      <w:r w:rsidRPr="00E80AF6">
        <w:rPr>
          <w:rFonts w:ascii="Lato" w:hAnsi="Lato" w:cs="Segoe UI"/>
          <w:color w:val="000000" w:themeColor="text1"/>
          <w:shd w:val="clear" w:color="auto" w:fill="FFFFFF"/>
        </w:rPr>
        <w:t xml:space="preserve"> typically the lead researcher responsible for the overall design, execution, and management of a research project.</w:t>
      </w:r>
    </w:p>
    <w:p w14:paraId="7B4D56B5" w14:textId="24264CB1" w:rsidR="00C47C3C" w:rsidRPr="00E80AF6" w:rsidRDefault="00C47C3C" w:rsidP="00B240CC">
      <w:pPr>
        <w:rPr>
          <w:rFonts w:ascii="Lato" w:hAnsi="Lato"/>
          <w:color w:val="000000" w:themeColor="text1"/>
          <w:shd w:val="clear" w:color="auto" w:fill="FFFFFF"/>
        </w:rPr>
      </w:pPr>
      <w:r w:rsidRPr="00E80AF6">
        <w:rPr>
          <w:rFonts w:ascii="Lato" w:hAnsi="Lato"/>
          <w:b/>
          <w:bCs/>
          <w:color w:val="000000" w:themeColor="text1"/>
          <w:sz w:val="28"/>
          <w:szCs w:val="28"/>
          <w:shd w:val="clear" w:color="auto" w:fill="FFFFFF"/>
        </w:rPr>
        <w:t>PID – Person Identifiable Data</w:t>
      </w:r>
      <w:r w:rsidRPr="00E80AF6">
        <w:rPr>
          <w:rFonts w:ascii="Lato" w:hAnsi="Lato"/>
          <w:color w:val="000000" w:themeColor="text1"/>
          <w:sz w:val="28"/>
          <w:szCs w:val="28"/>
          <w:shd w:val="clear" w:color="auto" w:fill="FFFFFF"/>
        </w:rPr>
        <w:t xml:space="preserve"> –</w:t>
      </w:r>
      <w:r w:rsidRPr="00E80AF6">
        <w:rPr>
          <w:rFonts w:ascii="Lato" w:hAnsi="Lato"/>
          <w:color w:val="000000" w:themeColor="text1"/>
          <w:shd w:val="clear" w:color="auto" w:fill="FFFFFF"/>
        </w:rPr>
        <w:t xml:space="preserve"> refers to any information that can be used to identify an individual.  This includes, but is not limited to name, contact information, personal identifiers, biometric data, financial information, medical information, online identifiers.</w:t>
      </w:r>
    </w:p>
    <w:p w14:paraId="11861746" w14:textId="45E82D2F" w:rsidR="00C47C3C" w:rsidRPr="00E80AF6" w:rsidRDefault="00C47C3C" w:rsidP="00C47C3C">
      <w:pPr>
        <w:rPr>
          <w:rFonts w:ascii="Lato" w:hAnsi="Lato"/>
          <w:b/>
          <w:bCs/>
          <w:color w:val="000000" w:themeColor="text1"/>
          <w:sz w:val="24"/>
          <w:szCs w:val="24"/>
        </w:rPr>
      </w:pPr>
      <w:r w:rsidRPr="00E80AF6">
        <w:rPr>
          <w:rFonts w:ascii="Lato" w:hAnsi="Lato"/>
          <w:b/>
          <w:bCs/>
          <w:color w:val="000000" w:themeColor="text1"/>
          <w:sz w:val="28"/>
          <w:szCs w:val="28"/>
        </w:rPr>
        <w:t>PIS – Patient Information Sheet</w:t>
      </w:r>
      <w:r w:rsidR="003E12EE" w:rsidRPr="00E80AF6">
        <w:rPr>
          <w:rFonts w:ascii="Lato" w:hAnsi="Lato"/>
          <w:b/>
          <w:bCs/>
          <w:color w:val="000000" w:themeColor="text1"/>
          <w:sz w:val="28"/>
          <w:szCs w:val="28"/>
        </w:rPr>
        <w:t xml:space="preserve"> </w:t>
      </w:r>
      <w:r w:rsidRPr="00E80AF6">
        <w:rPr>
          <w:rFonts w:ascii="Lato" w:hAnsi="Lato"/>
          <w:b/>
          <w:bCs/>
          <w:color w:val="000000" w:themeColor="text1"/>
          <w:sz w:val="28"/>
          <w:szCs w:val="28"/>
        </w:rPr>
        <w:t>-</w:t>
      </w:r>
      <w:r w:rsidRPr="00E80AF6">
        <w:rPr>
          <w:rFonts w:ascii="Lato" w:hAnsi="Lato"/>
          <w:color w:val="000000" w:themeColor="text1"/>
          <w:sz w:val="24"/>
          <w:szCs w:val="24"/>
        </w:rPr>
        <w:t xml:space="preserve"> I</w:t>
      </w:r>
      <w:r w:rsidRPr="00E80AF6">
        <w:rPr>
          <w:rFonts w:ascii="Lato" w:hAnsi="Lato" w:cs="Segoe UI"/>
          <w:color w:val="000000" w:themeColor="text1"/>
          <w:shd w:val="clear" w:color="auto" w:fill="FFFFFF"/>
        </w:rPr>
        <w:t>n medical research or clinical trials, a Patient Information Sheet (PIS) is a document provided to potential participants to inform them about the study, its objectives, procedures, risks, benefits, and their rights before deciding whether to participate.</w:t>
      </w:r>
    </w:p>
    <w:p w14:paraId="27634EAB" w14:textId="77777777" w:rsidR="00C47C3C" w:rsidRPr="00E80AF6" w:rsidRDefault="00C47C3C" w:rsidP="00C47C3C">
      <w:pPr>
        <w:rPr>
          <w:rFonts w:ascii="Lato" w:hAnsi="Lato"/>
          <w:b/>
          <w:bCs/>
          <w:color w:val="000000" w:themeColor="text1"/>
          <w:sz w:val="24"/>
          <w:szCs w:val="24"/>
        </w:rPr>
      </w:pPr>
      <w:r w:rsidRPr="00E80AF6">
        <w:rPr>
          <w:rFonts w:ascii="Lato" w:hAnsi="Lato"/>
          <w:b/>
          <w:bCs/>
          <w:color w:val="000000" w:themeColor="text1"/>
          <w:sz w:val="28"/>
          <w:szCs w:val="28"/>
        </w:rPr>
        <w:t>PPIE (or PPI)– Patient and Public Involvement/and Engagement -</w:t>
      </w:r>
      <w:r w:rsidRPr="00E80AF6">
        <w:rPr>
          <w:rFonts w:ascii="Lato" w:hAnsi="Lato"/>
          <w:b/>
          <w:bCs/>
          <w:color w:val="000000" w:themeColor="text1"/>
          <w:sz w:val="24"/>
          <w:szCs w:val="24"/>
        </w:rPr>
        <w:t xml:space="preserve"> </w:t>
      </w:r>
      <w:r w:rsidRPr="00E80AF6">
        <w:rPr>
          <w:rFonts w:ascii="Lato" w:hAnsi="Lato" w:cs="Segoe UI"/>
          <w:color w:val="000000" w:themeColor="text1"/>
          <w:shd w:val="clear" w:color="auto" w:fill="FFFFFF"/>
        </w:rPr>
        <w:t xml:space="preserve">In the context of healthcare, medical research, and public health initiatives, PPIE plays a crucial role in ensuring that the perspectives, needs, and experiences of patients, service users, and the </w:t>
      </w:r>
      <w:r w:rsidRPr="00E80AF6">
        <w:rPr>
          <w:rFonts w:ascii="Lato" w:hAnsi="Lato" w:cs="Segoe UI"/>
          <w:color w:val="000000" w:themeColor="text1"/>
          <w:shd w:val="clear" w:color="auto" w:fill="FFFFFF"/>
        </w:rPr>
        <w:lastRenderedPageBreak/>
        <w:t>public are considered and integrated into decision-making processes, research design, and service delivery.</w:t>
      </w:r>
    </w:p>
    <w:p w14:paraId="1C5BBAC6" w14:textId="77777777" w:rsidR="00C47C3C" w:rsidRPr="00E80AF6" w:rsidRDefault="00C47C3C" w:rsidP="00C47C3C">
      <w:pPr>
        <w:rPr>
          <w:rFonts w:ascii="Lato" w:hAnsi="Lato" w:cs="Helvetica"/>
          <w:b/>
          <w:bCs/>
          <w:color w:val="000000" w:themeColor="text1"/>
          <w:sz w:val="28"/>
          <w:szCs w:val="28"/>
          <w:shd w:val="clear" w:color="auto" w:fill="FFFFFF"/>
        </w:rPr>
      </w:pPr>
      <w:r w:rsidRPr="00E80AF6">
        <w:rPr>
          <w:rFonts w:ascii="Lato" w:hAnsi="Lato" w:cs="Helvetica"/>
          <w:b/>
          <w:bCs/>
          <w:color w:val="000000" w:themeColor="text1"/>
          <w:sz w:val="28"/>
          <w:szCs w:val="28"/>
          <w:shd w:val="clear" w:color="auto" w:fill="FFFFFF"/>
        </w:rPr>
        <w:t>PRB – Peninsula Research Bank</w:t>
      </w:r>
    </w:p>
    <w:p w14:paraId="419CD51F" w14:textId="77777777" w:rsidR="00C47C3C" w:rsidRPr="00E80AF6" w:rsidRDefault="00C47C3C" w:rsidP="00C47C3C">
      <w:pPr>
        <w:rPr>
          <w:rFonts w:ascii="Lato" w:hAnsi="Lato" w:cs="Segoe UI"/>
          <w:color w:val="000000" w:themeColor="text1"/>
          <w:shd w:val="clear" w:color="auto" w:fill="FFFFFF"/>
        </w:rPr>
      </w:pPr>
      <w:r w:rsidRPr="00E80AF6">
        <w:rPr>
          <w:rFonts w:ascii="Lato" w:hAnsi="Lato"/>
          <w:b/>
          <w:bCs/>
          <w:color w:val="000000" w:themeColor="text1"/>
          <w:sz w:val="28"/>
          <w:szCs w:val="28"/>
          <w:shd w:val="clear" w:color="auto" w:fill="FFFFFF"/>
        </w:rPr>
        <w:t>PSSF – Project Specific Site File</w:t>
      </w:r>
      <w:r w:rsidRPr="00E80AF6">
        <w:rPr>
          <w:rFonts w:ascii="Lato" w:hAnsi="Lato"/>
          <w:b/>
          <w:bCs/>
          <w:color w:val="000000" w:themeColor="text1"/>
          <w:sz w:val="24"/>
          <w:szCs w:val="24"/>
          <w:shd w:val="clear" w:color="auto" w:fill="FFFFFF"/>
        </w:rPr>
        <w:t xml:space="preserve"> -</w:t>
      </w:r>
      <w:r w:rsidRPr="00E80AF6">
        <w:rPr>
          <w:rFonts w:ascii="Lato" w:hAnsi="Lato"/>
          <w:color w:val="000000" w:themeColor="text1"/>
          <w:shd w:val="clear" w:color="auto" w:fill="FFFFFF"/>
        </w:rPr>
        <w:t xml:space="preserve"> </w:t>
      </w:r>
      <w:r w:rsidRPr="00E80AF6">
        <w:rPr>
          <w:rFonts w:ascii="Lato" w:hAnsi="Lato" w:cs="Segoe UI"/>
          <w:color w:val="000000" w:themeColor="text1"/>
          <w:shd w:val="clear" w:color="auto" w:fill="FFFFFF"/>
        </w:rPr>
        <w:t>typically refers to a collection of documents, records, and information specific to a particular project site.</w:t>
      </w:r>
    </w:p>
    <w:p w14:paraId="55AB88C1" w14:textId="23B265FA" w:rsidR="00C47C3C" w:rsidRPr="00E80AF6" w:rsidRDefault="00C47C3C" w:rsidP="00C47C3C">
      <w:pPr>
        <w:rPr>
          <w:rFonts w:ascii="Lato" w:hAnsi="Lato"/>
          <w:b/>
          <w:bCs/>
          <w:color w:val="000000" w:themeColor="text1"/>
          <w:sz w:val="28"/>
          <w:szCs w:val="28"/>
        </w:rPr>
      </w:pPr>
      <w:r w:rsidRPr="00E80AF6">
        <w:rPr>
          <w:rFonts w:ascii="Lato" w:hAnsi="Lato"/>
          <w:b/>
          <w:bCs/>
          <w:color w:val="000000" w:themeColor="text1"/>
          <w:sz w:val="28"/>
          <w:szCs w:val="28"/>
        </w:rPr>
        <w:t>R&amp;D – Research and Development</w:t>
      </w:r>
    </w:p>
    <w:p w14:paraId="28F51573" w14:textId="308767F2" w:rsidR="00C47C3C" w:rsidRPr="00E80AF6" w:rsidRDefault="00C47C3C" w:rsidP="00C47C3C">
      <w:pPr>
        <w:rPr>
          <w:rFonts w:ascii="Lato" w:hAnsi="Lato"/>
          <w:b/>
          <w:bCs/>
          <w:color w:val="000000" w:themeColor="text1"/>
          <w:sz w:val="28"/>
          <w:szCs w:val="28"/>
        </w:rPr>
      </w:pPr>
      <w:r w:rsidRPr="00E80AF6">
        <w:rPr>
          <w:rFonts w:ascii="Lato" w:hAnsi="Lato"/>
          <w:b/>
          <w:bCs/>
          <w:color w:val="000000" w:themeColor="text1"/>
          <w:sz w:val="28"/>
          <w:szCs w:val="28"/>
        </w:rPr>
        <w:t>RD&amp;E – Royal Devon and Exeter Hospital</w:t>
      </w:r>
    </w:p>
    <w:p w14:paraId="6E936E23" w14:textId="20772325" w:rsidR="00C47C3C" w:rsidRPr="00E80AF6" w:rsidRDefault="00C47C3C" w:rsidP="00C47C3C">
      <w:pPr>
        <w:rPr>
          <w:rFonts w:ascii="Lato" w:hAnsi="Lato"/>
          <w:b/>
          <w:bCs/>
          <w:color w:val="000000" w:themeColor="text1"/>
          <w:sz w:val="28"/>
          <w:szCs w:val="28"/>
        </w:rPr>
      </w:pPr>
      <w:r w:rsidRPr="00E80AF6">
        <w:rPr>
          <w:rFonts w:ascii="Lato" w:hAnsi="Lato"/>
          <w:b/>
          <w:bCs/>
          <w:color w:val="000000" w:themeColor="text1"/>
          <w:sz w:val="28"/>
          <w:szCs w:val="28"/>
        </w:rPr>
        <w:t>RDUH– Royal Devon University NHS Healthcare Foundation Trust</w:t>
      </w:r>
    </w:p>
    <w:p w14:paraId="41A6597E" w14:textId="77777777" w:rsidR="00C47C3C" w:rsidRPr="00E80AF6" w:rsidRDefault="00C47C3C" w:rsidP="00C47C3C">
      <w:pPr>
        <w:jc w:val="both"/>
        <w:rPr>
          <w:rFonts w:ascii="Lato" w:hAnsi="Lato" w:cs="Segoe UI"/>
          <w:color w:val="000000" w:themeColor="text1"/>
          <w:shd w:val="clear" w:color="auto" w:fill="FFFFFF"/>
        </w:rPr>
      </w:pPr>
      <w:r w:rsidRPr="00E80AF6">
        <w:rPr>
          <w:rFonts w:ascii="Lato" w:hAnsi="Lato" w:cs="Segoe UI"/>
          <w:b/>
          <w:bCs/>
          <w:color w:val="000000" w:themeColor="text1"/>
          <w:sz w:val="28"/>
          <w:szCs w:val="28"/>
          <w:shd w:val="clear" w:color="auto" w:fill="FFFFFF"/>
        </w:rPr>
        <w:t>REC – Research Ethics Committee -</w:t>
      </w:r>
      <w:r w:rsidRPr="00E80AF6">
        <w:rPr>
          <w:rFonts w:ascii="Lato" w:hAnsi="Lato" w:cs="Segoe UI"/>
          <w:color w:val="000000" w:themeColor="text1"/>
          <w:shd w:val="clear" w:color="auto" w:fill="FFFFFF"/>
        </w:rPr>
        <w:t xml:space="preserve"> also known as an Institutional Review Board (IRB) in some countries, is an independent body responsible for reviewing and approving research studies involving human participants to ensure that they are conducted ethically and in compliance with regulatory requirements and guidelines.</w:t>
      </w:r>
    </w:p>
    <w:p w14:paraId="024B19A7" w14:textId="6DF0C71D" w:rsidR="00A0667D" w:rsidRPr="00E80AF6" w:rsidRDefault="00A0667D" w:rsidP="00A0667D">
      <w:pPr>
        <w:rPr>
          <w:rFonts w:ascii="Lato" w:hAnsi="Lato" w:cs="Helvetica"/>
          <w:b/>
          <w:bCs/>
          <w:color w:val="000000" w:themeColor="text1"/>
          <w:sz w:val="28"/>
          <w:szCs w:val="28"/>
          <w:shd w:val="clear" w:color="auto" w:fill="FFFFFF"/>
        </w:rPr>
      </w:pPr>
      <w:r w:rsidRPr="00E80AF6">
        <w:rPr>
          <w:rFonts w:ascii="Lato" w:hAnsi="Lato"/>
          <w:b/>
          <w:bCs/>
          <w:color w:val="000000" w:themeColor="text1"/>
          <w:sz w:val="28"/>
          <w:szCs w:val="28"/>
        </w:rPr>
        <w:t xml:space="preserve">RILD – </w:t>
      </w:r>
      <w:r w:rsidRPr="00E80AF6">
        <w:rPr>
          <w:rFonts w:ascii="Lato" w:hAnsi="Lato" w:cs="Helvetica"/>
          <w:b/>
          <w:bCs/>
          <w:color w:val="000000" w:themeColor="text1"/>
          <w:sz w:val="28"/>
          <w:szCs w:val="28"/>
          <w:shd w:val="clear" w:color="auto" w:fill="FFFFFF"/>
        </w:rPr>
        <w:t>Research Innovation Learning &amp; Development Building</w:t>
      </w:r>
    </w:p>
    <w:p w14:paraId="1E7E14F0" w14:textId="77777777" w:rsidR="00F3045D" w:rsidRPr="00E80AF6" w:rsidRDefault="00F3045D" w:rsidP="00F3045D">
      <w:pPr>
        <w:rPr>
          <w:rFonts w:ascii="Lato" w:hAnsi="Lato"/>
          <w:color w:val="000000" w:themeColor="text1"/>
          <w:shd w:val="clear" w:color="auto" w:fill="FFFFFF"/>
        </w:rPr>
      </w:pPr>
      <w:r w:rsidRPr="00E80AF6">
        <w:rPr>
          <w:rFonts w:ascii="Lato" w:hAnsi="Lato"/>
          <w:b/>
          <w:bCs/>
          <w:color w:val="000000" w:themeColor="text1"/>
          <w:sz w:val="28"/>
          <w:szCs w:val="28"/>
        </w:rPr>
        <w:t>SDE – Secure Data Environment -</w:t>
      </w:r>
      <w:r w:rsidRPr="00E80AF6">
        <w:rPr>
          <w:rFonts w:ascii="Lato" w:hAnsi="Lato"/>
          <w:b/>
          <w:bCs/>
          <w:color w:val="000000" w:themeColor="text1"/>
          <w:sz w:val="24"/>
          <w:szCs w:val="24"/>
        </w:rPr>
        <w:t xml:space="preserve"> </w:t>
      </w:r>
      <w:r w:rsidRPr="00E80AF6">
        <w:rPr>
          <w:rFonts w:ascii="Lato" w:hAnsi="Lato"/>
          <w:color w:val="000000" w:themeColor="text1"/>
          <w:shd w:val="clear" w:color="auto" w:fill="FFFFFF"/>
        </w:rPr>
        <w:t>Secure Data Environments are </w:t>
      </w:r>
      <w:r w:rsidRPr="00E80AF6">
        <w:rPr>
          <w:rStyle w:val="Strong"/>
          <w:rFonts w:ascii="Lato" w:hAnsi="Lato"/>
          <w:b w:val="0"/>
          <w:bCs w:val="0"/>
          <w:color w:val="000000" w:themeColor="text1"/>
        </w:rPr>
        <w:t>data storage and access platforms</w:t>
      </w:r>
      <w:r w:rsidRPr="00E80AF6">
        <w:rPr>
          <w:rFonts w:ascii="Lato" w:hAnsi="Lato"/>
          <w:color w:val="000000" w:themeColor="text1"/>
          <w:shd w:val="clear" w:color="auto" w:fill="FFFFFF"/>
        </w:rPr>
        <w:t>, which uphold the highest standards of privacy and security of NHS health and social care data when used for research and analysis.</w:t>
      </w:r>
    </w:p>
    <w:p w14:paraId="1C03EDEC" w14:textId="7BC0640E" w:rsidR="00C47C3C" w:rsidRPr="00E80AF6" w:rsidRDefault="00F3045D" w:rsidP="00FE3756">
      <w:pPr>
        <w:rPr>
          <w:rFonts w:ascii="Lato" w:hAnsi="Lato"/>
          <w:b/>
          <w:bCs/>
          <w:color w:val="000000" w:themeColor="text1"/>
          <w:sz w:val="28"/>
          <w:szCs w:val="28"/>
        </w:rPr>
      </w:pPr>
      <w:r w:rsidRPr="00E80AF6">
        <w:rPr>
          <w:rFonts w:ascii="Lato" w:hAnsi="Lato"/>
          <w:b/>
          <w:bCs/>
          <w:color w:val="000000" w:themeColor="text1"/>
          <w:sz w:val="28"/>
          <w:szCs w:val="28"/>
        </w:rPr>
        <w:t>SI(s) – Senior Investigators</w:t>
      </w:r>
    </w:p>
    <w:p w14:paraId="2776ACB0" w14:textId="39EB896D" w:rsidR="00FE3756" w:rsidRPr="00E80AF6" w:rsidRDefault="00FE3756" w:rsidP="00FE3756">
      <w:pPr>
        <w:rPr>
          <w:rFonts w:ascii="Lato" w:hAnsi="Lato"/>
          <w:b/>
          <w:bCs/>
          <w:color w:val="000000" w:themeColor="text1"/>
          <w:sz w:val="28"/>
          <w:szCs w:val="28"/>
        </w:rPr>
      </w:pPr>
      <w:r w:rsidRPr="00E80AF6">
        <w:rPr>
          <w:rFonts w:ascii="Lato" w:hAnsi="Lato"/>
          <w:b/>
          <w:bCs/>
          <w:color w:val="000000" w:themeColor="text1"/>
          <w:sz w:val="28"/>
          <w:szCs w:val="28"/>
        </w:rPr>
        <w:t>T1D – Type 1 Diabetes</w:t>
      </w:r>
    </w:p>
    <w:p w14:paraId="003FB7B1" w14:textId="08F42D92" w:rsidR="00FE3756" w:rsidRPr="00E80AF6" w:rsidRDefault="00FE3756" w:rsidP="00A0667D">
      <w:pPr>
        <w:rPr>
          <w:rFonts w:ascii="Lato" w:hAnsi="Lato"/>
          <w:b/>
          <w:bCs/>
          <w:color w:val="000000" w:themeColor="text1"/>
          <w:sz w:val="24"/>
          <w:szCs w:val="24"/>
        </w:rPr>
      </w:pPr>
      <w:r w:rsidRPr="00E80AF6">
        <w:rPr>
          <w:rFonts w:ascii="Lato" w:hAnsi="Lato"/>
          <w:b/>
          <w:bCs/>
          <w:color w:val="000000" w:themeColor="text1"/>
          <w:sz w:val="28"/>
          <w:szCs w:val="28"/>
        </w:rPr>
        <w:t>T2D – Type 2 Diabetes</w:t>
      </w:r>
    </w:p>
    <w:p w14:paraId="77874A4B" w14:textId="4C551320" w:rsidR="00F3045D" w:rsidRPr="00E80AF6" w:rsidRDefault="00F3045D" w:rsidP="00F3045D">
      <w:pPr>
        <w:jc w:val="both"/>
        <w:rPr>
          <w:rFonts w:ascii="Lato" w:hAnsi="Lato" w:cs="Segoe UI"/>
          <w:color w:val="000000" w:themeColor="text1"/>
          <w:shd w:val="clear" w:color="auto" w:fill="FFFFFF"/>
        </w:rPr>
      </w:pPr>
      <w:r w:rsidRPr="00E80AF6">
        <w:rPr>
          <w:rFonts w:ascii="Lato" w:hAnsi="Lato" w:cs="Segoe UI"/>
          <w:b/>
          <w:bCs/>
          <w:color w:val="000000" w:themeColor="text1"/>
          <w:sz w:val="28"/>
          <w:szCs w:val="28"/>
          <w:shd w:val="clear" w:color="auto" w:fill="FFFFFF"/>
        </w:rPr>
        <w:t>TRE – Trusted Research Environment</w:t>
      </w:r>
      <w:r w:rsidRPr="00E80AF6">
        <w:rPr>
          <w:rFonts w:ascii="Lato" w:hAnsi="Lato" w:cs="Segoe UI"/>
          <w:color w:val="000000" w:themeColor="text1"/>
          <w:shd w:val="clear" w:color="auto" w:fill="FFFFFF"/>
        </w:rPr>
        <w:t xml:space="preserve"> is a is a secure and controlled environment designed to facilitate collaborative research while ensuring the protection of sensitive data and maintaining compliance with privacy regulations.</w:t>
      </w:r>
    </w:p>
    <w:p w14:paraId="561A8F30" w14:textId="160616BA" w:rsidR="00B66B1E" w:rsidRPr="00B66B1E" w:rsidRDefault="00B66B1E" w:rsidP="002D0227">
      <w:pPr>
        <w:spacing w:after="0" w:line="240" w:lineRule="auto"/>
        <w:rPr>
          <w:rFonts w:ascii="Lato" w:hAnsi="Lato" w:cs="Arial"/>
          <w:bCs/>
          <w:color w:val="000000" w:themeColor="text1"/>
        </w:rPr>
      </w:pPr>
      <w:r>
        <w:rPr>
          <w:rFonts w:ascii="Lato" w:hAnsi="Lato" w:cs="Arial"/>
          <w:b/>
          <w:color w:val="000000" w:themeColor="text1"/>
          <w:sz w:val="28"/>
          <w:szCs w:val="28"/>
        </w:rPr>
        <w:t xml:space="preserve">UKCRC – UK Clinical Research Collaboration – </w:t>
      </w:r>
      <w:r w:rsidRPr="00B66B1E">
        <w:rPr>
          <w:rFonts w:ascii="Lato" w:hAnsi="Lato" w:cs="Arial"/>
          <w:bCs/>
          <w:color w:val="000000" w:themeColor="text1"/>
        </w:rPr>
        <w:t>UK</w:t>
      </w:r>
      <w:r>
        <w:rPr>
          <w:rFonts w:ascii="Lato" w:hAnsi="Lato" w:cs="Arial"/>
          <w:bCs/>
          <w:color w:val="000000" w:themeColor="text1"/>
        </w:rPr>
        <w:t xml:space="preserve">CRC </w:t>
      </w:r>
      <w:r w:rsidRPr="00B66B1E">
        <w:rPr>
          <w:rFonts w:ascii="Lato" w:hAnsi="Lato" w:cs="Arial"/>
          <w:bCs/>
          <w:color w:val="000000" w:themeColor="text1"/>
        </w:rPr>
        <w:t>brings together the NHS, research funders, industry, regulatory bodies, Royal Colleges, patient groups and academia in a UK-wide environment that facilitates and promotes high quality clinical research for the benefit of patients.</w:t>
      </w:r>
    </w:p>
    <w:p w14:paraId="532C72EE" w14:textId="77777777" w:rsidR="00B66B1E" w:rsidRDefault="00B66B1E" w:rsidP="002D0227">
      <w:pPr>
        <w:spacing w:after="0" w:line="240" w:lineRule="auto"/>
        <w:rPr>
          <w:rFonts w:ascii="Lato" w:hAnsi="Lato" w:cs="Arial"/>
          <w:b/>
          <w:color w:val="000000" w:themeColor="text1"/>
          <w:sz w:val="28"/>
          <w:szCs w:val="28"/>
        </w:rPr>
      </w:pPr>
    </w:p>
    <w:p w14:paraId="36CC937B" w14:textId="53F40339" w:rsidR="00EB0EA9" w:rsidRDefault="002D0227" w:rsidP="002D0227">
      <w:pPr>
        <w:spacing w:after="0" w:line="240" w:lineRule="auto"/>
        <w:rPr>
          <w:rFonts w:ascii="Lato" w:hAnsi="Lato" w:cs="Segoe UI"/>
          <w:color w:val="000000" w:themeColor="text1"/>
          <w:shd w:val="clear" w:color="auto" w:fill="FFFFFF"/>
        </w:rPr>
      </w:pPr>
      <w:r w:rsidRPr="00E80AF6">
        <w:rPr>
          <w:rFonts w:ascii="Lato" w:hAnsi="Lato" w:cs="Arial"/>
          <w:b/>
          <w:color w:val="000000" w:themeColor="text1"/>
          <w:sz w:val="28"/>
          <w:szCs w:val="28"/>
        </w:rPr>
        <w:t xml:space="preserve">UKCRC Health Category:  </w:t>
      </w:r>
      <w:r w:rsidR="00EB0EA9" w:rsidRPr="00E80AF6">
        <w:rPr>
          <w:rFonts w:ascii="Lato" w:hAnsi="Lato" w:cs="Segoe UI"/>
          <w:b/>
          <w:color w:val="000000" w:themeColor="text1"/>
          <w:sz w:val="28"/>
          <w:szCs w:val="28"/>
          <w:shd w:val="clear" w:color="auto" w:fill="FFFFFF"/>
        </w:rPr>
        <w:t>United Kingdom Clinical Research Collaboration</w:t>
      </w:r>
      <w:r w:rsidR="00443ACD" w:rsidRPr="00E80AF6">
        <w:rPr>
          <w:rFonts w:ascii="Lato" w:hAnsi="Lato" w:cs="Segoe UI"/>
          <w:b/>
          <w:color w:val="000000" w:themeColor="text1"/>
          <w:sz w:val="28"/>
          <w:szCs w:val="28"/>
          <w:shd w:val="clear" w:color="auto" w:fill="FFFFFF"/>
        </w:rPr>
        <w:t xml:space="preserve"> -</w:t>
      </w:r>
      <w:r w:rsidR="00443ACD" w:rsidRPr="00E80AF6">
        <w:rPr>
          <w:rFonts w:ascii="Lato" w:hAnsi="Lato" w:cs="Segoe UI"/>
          <w:b/>
          <w:color w:val="000000" w:themeColor="text1"/>
          <w:sz w:val="24"/>
          <w:szCs w:val="24"/>
          <w:shd w:val="clear" w:color="auto" w:fill="FFFFFF"/>
        </w:rPr>
        <w:t xml:space="preserve"> </w:t>
      </w:r>
      <w:r w:rsidR="00443ACD" w:rsidRPr="00E80AF6">
        <w:rPr>
          <w:rFonts w:ascii="Lato" w:hAnsi="Lato" w:cs="Segoe UI"/>
          <w:bCs/>
          <w:color w:val="000000" w:themeColor="text1"/>
          <w:sz w:val="24"/>
          <w:szCs w:val="24"/>
          <w:shd w:val="clear" w:color="auto" w:fill="FFFFFF"/>
        </w:rPr>
        <w:t>t</w:t>
      </w:r>
      <w:r w:rsidR="00EB0EA9" w:rsidRPr="00E80AF6">
        <w:rPr>
          <w:rFonts w:ascii="Lato" w:hAnsi="Lato" w:cs="Segoe UI"/>
          <w:color w:val="000000" w:themeColor="text1"/>
          <w:shd w:val="clear" w:color="auto" w:fill="FFFFFF"/>
        </w:rPr>
        <w:t>he UKCRC Health Category refers to the classification system used by the UKCRC to categorize different types of health research.</w:t>
      </w:r>
    </w:p>
    <w:p w14:paraId="173340FB" w14:textId="77777777" w:rsidR="00B66B1E" w:rsidRDefault="00B66B1E" w:rsidP="002D0227">
      <w:pPr>
        <w:spacing w:after="0" w:line="240" w:lineRule="auto"/>
        <w:rPr>
          <w:rFonts w:ascii="Lato" w:hAnsi="Lato" w:cs="Segoe UI"/>
          <w:color w:val="000000" w:themeColor="text1"/>
          <w:shd w:val="clear" w:color="auto" w:fill="FFFFFF"/>
        </w:rPr>
      </w:pPr>
    </w:p>
    <w:p w14:paraId="429F1C8F" w14:textId="0CE6696D" w:rsidR="00EB0EA9" w:rsidRPr="000C6872" w:rsidRDefault="00B66B1E" w:rsidP="002D0227">
      <w:pPr>
        <w:spacing w:after="0" w:line="240" w:lineRule="auto"/>
        <w:rPr>
          <w:rFonts w:ascii="Lato" w:hAnsi="Lato" w:cs="Arial"/>
          <w:b/>
          <w:color w:val="000000" w:themeColor="text1"/>
          <w:sz w:val="28"/>
          <w:szCs w:val="28"/>
        </w:rPr>
      </w:pPr>
      <w:r w:rsidRPr="000C6872">
        <w:rPr>
          <w:rFonts w:ascii="Lato" w:hAnsi="Lato" w:cs="Segoe UI"/>
          <w:b/>
          <w:color w:val="000000" w:themeColor="text1"/>
          <w:sz w:val="28"/>
          <w:szCs w:val="28"/>
          <w:shd w:val="clear" w:color="auto" w:fill="FFFFFF"/>
        </w:rPr>
        <w:t xml:space="preserve">UKCRFN – UK Clinical Research Facility Network </w:t>
      </w:r>
    </w:p>
    <w:p w14:paraId="51CC9B02" w14:textId="77777777" w:rsidR="00584C1E" w:rsidRPr="00E80AF6" w:rsidRDefault="00584C1E" w:rsidP="00CE793A">
      <w:pPr>
        <w:jc w:val="both"/>
        <w:rPr>
          <w:rFonts w:ascii="Lato" w:hAnsi="Lato" w:cs="Segoe UI"/>
          <w:color w:val="000000" w:themeColor="text1"/>
          <w:shd w:val="clear" w:color="auto" w:fill="FFFFFF"/>
        </w:rPr>
      </w:pPr>
    </w:p>
    <w:p w14:paraId="32933FBE" w14:textId="77777777" w:rsidR="00010F8B" w:rsidRPr="00E80AF6" w:rsidRDefault="00010F8B" w:rsidP="00CE793A">
      <w:pPr>
        <w:jc w:val="both"/>
        <w:rPr>
          <w:rFonts w:ascii="Lato" w:hAnsi="Lato" w:cs="Segoe UI"/>
          <w:color w:val="000000" w:themeColor="text1"/>
          <w:shd w:val="clear" w:color="auto" w:fill="FFFFFF"/>
        </w:rPr>
      </w:pPr>
    </w:p>
    <w:p w14:paraId="479E7676" w14:textId="77777777" w:rsidR="00FB79EE" w:rsidRPr="00E80AF6" w:rsidRDefault="00FB79EE" w:rsidP="00CE793A">
      <w:pPr>
        <w:jc w:val="both"/>
        <w:rPr>
          <w:rFonts w:ascii="Lato" w:hAnsi="Lato"/>
          <w:color w:val="000000" w:themeColor="text1"/>
        </w:rPr>
      </w:pPr>
    </w:p>
    <w:p w14:paraId="163EB63F" w14:textId="77777777" w:rsidR="00CD46F9" w:rsidRPr="00E80AF6" w:rsidRDefault="00CD46F9">
      <w:pPr>
        <w:rPr>
          <w:rFonts w:ascii="Lato" w:hAnsi="Lato"/>
          <w:b/>
          <w:bCs/>
          <w:color w:val="000000" w:themeColor="text1"/>
        </w:rPr>
      </w:pPr>
    </w:p>
    <w:sectPr w:rsidR="00CD46F9" w:rsidRPr="00E80AF6">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4D8B1" w14:textId="77777777" w:rsidR="00B66B1E" w:rsidRDefault="00B66B1E" w:rsidP="00B66B1E">
      <w:pPr>
        <w:spacing w:after="0" w:line="240" w:lineRule="auto"/>
      </w:pPr>
      <w:r>
        <w:separator/>
      </w:r>
    </w:p>
  </w:endnote>
  <w:endnote w:type="continuationSeparator" w:id="0">
    <w:p w14:paraId="0AAF6AEB" w14:textId="77777777" w:rsidR="00B66B1E" w:rsidRDefault="00B66B1E" w:rsidP="00B66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JJJN G+ Syntax">
    <w:altName w:val="Syntax"/>
    <w:panose1 w:val="00000000000000000000"/>
    <w:charset w:val="00"/>
    <w:family w:val="swiss"/>
    <w:notTrueType/>
    <w:pitch w:val="default"/>
    <w:sig w:usb0="00000003" w:usb1="00000000" w:usb2="00000000" w:usb3="00000000" w:csb0="00000001" w:csb1="00000000"/>
  </w:font>
  <w:font w:name="Lato">
    <w:charset w:val="00"/>
    <w:family w:val="swiss"/>
    <w:pitch w:val="variable"/>
    <w:sig w:usb0="E10002FF" w:usb1="5000ECFF" w:usb2="00000021" w:usb3="00000000" w:csb0="0000019F" w:csb1="00000000"/>
  </w:font>
  <w:font w:name="Latha">
    <w:panose1 w:val="02000400000000000000"/>
    <w:charset w:val="00"/>
    <w:family w:val="swiss"/>
    <w:pitch w:val="variable"/>
    <w:sig w:usb0="001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515275"/>
      <w:docPartObj>
        <w:docPartGallery w:val="Page Numbers (Bottom of Page)"/>
        <w:docPartUnique/>
      </w:docPartObj>
    </w:sdtPr>
    <w:sdtEndPr>
      <w:rPr>
        <w:noProof/>
      </w:rPr>
    </w:sdtEndPr>
    <w:sdtContent>
      <w:p w14:paraId="183F6CF8" w14:textId="5ED3EFE4" w:rsidR="00B66B1E" w:rsidRDefault="00B66B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A93D4A" w14:textId="77777777" w:rsidR="00B66B1E" w:rsidRDefault="00B66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B7FD0" w14:textId="77777777" w:rsidR="00B66B1E" w:rsidRDefault="00B66B1E" w:rsidP="00B66B1E">
      <w:pPr>
        <w:spacing w:after="0" w:line="240" w:lineRule="auto"/>
      </w:pPr>
      <w:r>
        <w:separator/>
      </w:r>
    </w:p>
  </w:footnote>
  <w:footnote w:type="continuationSeparator" w:id="0">
    <w:p w14:paraId="5468B708" w14:textId="77777777" w:rsidR="00B66B1E" w:rsidRDefault="00B66B1E" w:rsidP="00B66B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02666F"/>
    <w:multiLevelType w:val="multilevel"/>
    <w:tmpl w:val="EEB65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1492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227"/>
    <w:rsid w:val="00010F8B"/>
    <w:rsid w:val="00044FE6"/>
    <w:rsid w:val="00093889"/>
    <w:rsid w:val="000C6872"/>
    <w:rsid w:val="0012176A"/>
    <w:rsid w:val="0013082D"/>
    <w:rsid w:val="002D0227"/>
    <w:rsid w:val="00380F8D"/>
    <w:rsid w:val="003A4FEA"/>
    <w:rsid w:val="003C2828"/>
    <w:rsid w:val="003E12EE"/>
    <w:rsid w:val="0041343A"/>
    <w:rsid w:val="004161CD"/>
    <w:rsid w:val="00443ACD"/>
    <w:rsid w:val="00443D50"/>
    <w:rsid w:val="004A1610"/>
    <w:rsid w:val="00506648"/>
    <w:rsid w:val="00584C1E"/>
    <w:rsid w:val="005A0ACE"/>
    <w:rsid w:val="005D2DAB"/>
    <w:rsid w:val="00631DE3"/>
    <w:rsid w:val="006D706B"/>
    <w:rsid w:val="0075457B"/>
    <w:rsid w:val="007D7F09"/>
    <w:rsid w:val="008216FF"/>
    <w:rsid w:val="008224E3"/>
    <w:rsid w:val="008B0B14"/>
    <w:rsid w:val="009464F4"/>
    <w:rsid w:val="009567F6"/>
    <w:rsid w:val="009E7C49"/>
    <w:rsid w:val="00A0525D"/>
    <w:rsid w:val="00A0667D"/>
    <w:rsid w:val="00A169BD"/>
    <w:rsid w:val="00A3123B"/>
    <w:rsid w:val="00A44D79"/>
    <w:rsid w:val="00A51708"/>
    <w:rsid w:val="00A71B24"/>
    <w:rsid w:val="00AA628F"/>
    <w:rsid w:val="00AD15A2"/>
    <w:rsid w:val="00B240CC"/>
    <w:rsid w:val="00B527AB"/>
    <w:rsid w:val="00B531D9"/>
    <w:rsid w:val="00B65CFA"/>
    <w:rsid w:val="00B66B1E"/>
    <w:rsid w:val="00BC0ABD"/>
    <w:rsid w:val="00BD6AC8"/>
    <w:rsid w:val="00BE5235"/>
    <w:rsid w:val="00C10FE6"/>
    <w:rsid w:val="00C47C3C"/>
    <w:rsid w:val="00C70E73"/>
    <w:rsid w:val="00CB312D"/>
    <w:rsid w:val="00CB695C"/>
    <w:rsid w:val="00CD3F94"/>
    <w:rsid w:val="00CD46F9"/>
    <w:rsid w:val="00CE793A"/>
    <w:rsid w:val="00CF550F"/>
    <w:rsid w:val="00D02F83"/>
    <w:rsid w:val="00D44A2B"/>
    <w:rsid w:val="00E07C3D"/>
    <w:rsid w:val="00E451B7"/>
    <w:rsid w:val="00E80AF6"/>
    <w:rsid w:val="00E9328B"/>
    <w:rsid w:val="00EB0EA9"/>
    <w:rsid w:val="00EE77A1"/>
    <w:rsid w:val="00F11265"/>
    <w:rsid w:val="00F3045D"/>
    <w:rsid w:val="00F4325C"/>
    <w:rsid w:val="00F738E3"/>
    <w:rsid w:val="00FB79EE"/>
    <w:rsid w:val="00FE37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42234"/>
  <w15:chartTrackingRefBased/>
  <w15:docId w15:val="{68452FAA-B3D4-40C2-BE76-3508C8EB7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C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D02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443ACD"/>
    <w:rPr>
      <w:color w:val="0000FF"/>
      <w:u w:val="single"/>
    </w:rPr>
  </w:style>
  <w:style w:type="character" w:styleId="Strong">
    <w:name w:val="Strong"/>
    <w:basedOn w:val="DefaultParagraphFont"/>
    <w:uiPriority w:val="22"/>
    <w:qFormat/>
    <w:rsid w:val="00A0525D"/>
    <w:rPr>
      <w:b/>
      <w:bCs/>
    </w:rPr>
  </w:style>
  <w:style w:type="paragraph" w:customStyle="1" w:styleId="NumberedPolicyParagraphs">
    <w:name w:val="Numbered Policy Paragraphs"/>
    <w:basedOn w:val="Normal"/>
    <w:rsid w:val="0041343A"/>
    <w:pPr>
      <w:tabs>
        <w:tab w:val="left" w:pos="720"/>
      </w:tabs>
      <w:spacing w:after="0" w:line="240" w:lineRule="auto"/>
      <w:ind w:left="720" w:hanging="720"/>
    </w:pPr>
    <w:rPr>
      <w:rFonts w:ascii="Arial" w:eastAsia="Times New Roman" w:hAnsi="Arial" w:cs="Arial"/>
    </w:rPr>
  </w:style>
  <w:style w:type="paragraph" w:customStyle="1" w:styleId="Default">
    <w:name w:val="Default"/>
    <w:rsid w:val="0041343A"/>
    <w:pPr>
      <w:widowControl w:val="0"/>
      <w:autoSpaceDE w:val="0"/>
      <w:autoSpaceDN w:val="0"/>
      <w:adjustRightInd w:val="0"/>
      <w:spacing w:after="0" w:line="240" w:lineRule="auto"/>
    </w:pPr>
    <w:rPr>
      <w:rFonts w:ascii="BJJJN G+ Syntax" w:eastAsia="Times New Roman" w:hAnsi="BJJJN G+ Syntax" w:cs="BJJJN G+ Syntax"/>
      <w:color w:val="000000"/>
      <w:sz w:val="24"/>
      <w:szCs w:val="24"/>
      <w:lang w:eastAsia="en-GB"/>
    </w:rPr>
  </w:style>
  <w:style w:type="paragraph" w:styleId="Header">
    <w:name w:val="header"/>
    <w:basedOn w:val="Normal"/>
    <w:link w:val="HeaderChar"/>
    <w:uiPriority w:val="99"/>
    <w:unhideWhenUsed/>
    <w:rsid w:val="00B66B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6B1E"/>
  </w:style>
  <w:style w:type="paragraph" w:styleId="Footer">
    <w:name w:val="footer"/>
    <w:basedOn w:val="Normal"/>
    <w:link w:val="FooterChar"/>
    <w:uiPriority w:val="99"/>
    <w:unhideWhenUsed/>
    <w:rsid w:val="00B66B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6B1E"/>
  </w:style>
  <w:style w:type="character" w:styleId="UnresolvedMention">
    <w:name w:val="Unresolved Mention"/>
    <w:basedOn w:val="DefaultParagraphFont"/>
    <w:uiPriority w:val="99"/>
    <w:semiHidden/>
    <w:unhideWhenUsed/>
    <w:rsid w:val="00F738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905964">
      <w:bodyDiv w:val="1"/>
      <w:marLeft w:val="0"/>
      <w:marRight w:val="0"/>
      <w:marTop w:val="0"/>
      <w:marBottom w:val="0"/>
      <w:divBdr>
        <w:top w:val="none" w:sz="0" w:space="0" w:color="auto"/>
        <w:left w:val="none" w:sz="0" w:space="0" w:color="auto"/>
        <w:bottom w:val="none" w:sz="0" w:space="0" w:color="auto"/>
        <w:right w:val="none" w:sz="0" w:space="0" w:color="auto"/>
      </w:divBdr>
    </w:div>
    <w:div w:id="1453666520">
      <w:bodyDiv w:val="1"/>
      <w:marLeft w:val="0"/>
      <w:marRight w:val="0"/>
      <w:marTop w:val="0"/>
      <w:marBottom w:val="0"/>
      <w:divBdr>
        <w:top w:val="none" w:sz="0" w:space="0" w:color="auto"/>
        <w:left w:val="none" w:sz="0" w:space="0" w:color="auto"/>
        <w:bottom w:val="none" w:sz="0" w:space="0" w:color="auto"/>
        <w:right w:val="none" w:sz="0" w:space="0" w:color="auto"/>
      </w:divBdr>
    </w:div>
    <w:div w:id="1905869171">
      <w:bodyDiv w:val="1"/>
      <w:marLeft w:val="0"/>
      <w:marRight w:val="0"/>
      <w:marTop w:val="0"/>
      <w:marBottom w:val="0"/>
      <w:divBdr>
        <w:top w:val="none" w:sz="0" w:space="0" w:color="auto"/>
        <w:left w:val="none" w:sz="0" w:space="0" w:color="auto"/>
        <w:bottom w:val="none" w:sz="0" w:space="0" w:color="auto"/>
        <w:right w:val="none" w:sz="0" w:space="0" w:color="auto"/>
      </w:divBdr>
    </w:div>
    <w:div w:id="1915167434">
      <w:bodyDiv w:val="1"/>
      <w:marLeft w:val="0"/>
      <w:marRight w:val="0"/>
      <w:marTop w:val="0"/>
      <w:marBottom w:val="0"/>
      <w:divBdr>
        <w:top w:val="none" w:sz="0" w:space="0" w:color="auto"/>
        <w:left w:val="none" w:sz="0" w:space="0" w:color="auto"/>
        <w:bottom w:val="none" w:sz="0" w:space="0" w:color="auto"/>
        <w:right w:val="none" w:sz="0" w:space="0" w:color="auto"/>
      </w:divBdr>
    </w:div>
    <w:div w:id="1928418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hr.ac.uk/about-us/glossary.htm?letter=P"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1094</Words>
  <Characters>6241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Fothergill, Christine</dc:creator>
  <cp:keywords/>
  <dc:description/>
  <cp:lastModifiedBy>Fothergill, Christine</cp:lastModifiedBy>
  <cp:revision>5</cp:revision>
  <cp:lastPrinted>2024-03-14T12:04:00Z</cp:lastPrinted>
  <dcterms:created xsi:type="dcterms:W3CDTF">2024-03-20T10:13:00Z</dcterms:created>
  <dcterms:modified xsi:type="dcterms:W3CDTF">2024-03-20T11:33:00Z</dcterms:modified>
</cp:coreProperties>
</file>